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7C0C13" w:rsidRDefault="00A37234" w:rsidP="00A37234">
      <w:pPr>
        <w:pStyle w:val="Default"/>
        <w:jc w:val="center"/>
        <w:rPr>
          <w:rFonts w:ascii="Open Sans" w:hAnsi="Open Sans" w:cs="Open Sans"/>
          <w:color w:val="2F5496" w:themeColor="accent5" w:themeShade="BF"/>
          <w:sz w:val="44"/>
        </w:rPr>
      </w:pPr>
      <w:r w:rsidRPr="007C0C13">
        <w:rPr>
          <w:rFonts w:ascii="Open Sans" w:hAnsi="Open Sans" w:cs="Open Sans"/>
          <w:b/>
          <w:bCs/>
          <w:iCs/>
          <w:color w:val="2F5496" w:themeColor="accent5" w:themeShade="BF"/>
          <w:sz w:val="44"/>
        </w:rPr>
        <w:t xml:space="preserve">Circuito </w:t>
      </w:r>
      <w:r w:rsidR="009862B6" w:rsidRPr="007C0C13">
        <w:rPr>
          <w:rFonts w:ascii="Open Sans" w:hAnsi="Open Sans" w:cs="Open Sans"/>
          <w:b/>
          <w:bCs/>
          <w:iCs/>
          <w:color w:val="2F5496" w:themeColor="accent5" w:themeShade="BF"/>
          <w:sz w:val="44"/>
        </w:rPr>
        <w:t>Tierra Santa y el Cairo</w:t>
      </w:r>
    </w:p>
    <w:p w:rsidR="00A37234" w:rsidRPr="007C0C13" w:rsidRDefault="009862B6" w:rsidP="00A37234">
      <w:pPr>
        <w:pStyle w:val="Default"/>
        <w:jc w:val="center"/>
        <w:rPr>
          <w:rFonts w:ascii="Open Sans" w:hAnsi="Open Sans" w:cs="Open Sans"/>
          <w:b/>
        </w:rPr>
      </w:pPr>
      <w:r w:rsidRPr="007C0C13">
        <w:rPr>
          <w:rFonts w:ascii="Open Sans" w:hAnsi="Open Sans" w:cs="Open Sans"/>
          <w:b/>
        </w:rPr>
        <w:t>10 Días / 09</w:t>
      </w:r>
      <w:r w:rsidR="00A37234" w:rsidRPr="007C0C13">
        <w:rPr>
          <w:rFonts w:ascii="Open Sans" w:hAnsi="Open Sans" w:cs="Open Sans"/>
          <w:b/>
        </w:rPr>
        <w:t xml:space="preserve"> Noches - Salidas Garantizadas todos los días </w:t>
      </w:r>
      <w:r w:rsidRPr="007C0C13">
        <w:rPr>
          <w:rFonts w:ascii="Open Sans" w:hAnsi="Open Sans" w:cs="Open Sans"/>
          <w:b/>
        </w:rPr>
        <w:t>Lunes</w:t>
      </w:r>
      <w:r w:rsidR="00A37234" w:rsidRPr="007C0C13">
        <w:rPr>
          <w:rFonts w:ascii="Open Sans" w:hAnsi="Open Sans" w:cs="Open Sans"/>
          <w:b/>
        </w:rPr>
        <w:t xml:space="preserve"> en Español</w:t>
      </w:r>
    </w:p>
    <w:p w:rsidR="00A37234" w:rsidRPr="007C0C13" w:rsidRDefault="00A37234" w:rsidP="00A37234">
      <w:pPr>
        <w:pStyle w:val="Default"/>
        <w:jc w:val="both"/>
        <w:rPr>
          <w:rFonts w:ascii="Open Sans" w:hAnsi="Open Sans" w:cs="Open Sans"/>
        </w:rPr>
      </w:pP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1º. Lunes. Aeropuerto Ben Gurion – Tel Aviv</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Llegada al aeropuerto, asistencia y traslado al</w:t>
      </w:r>
      <w:bookmarkStart w:id="0" w:name="_GoBack"/>
      <w:bookmarkEnd w:id="0"/>
      <w:r w:rsidRPr="007C0C13">
        <w:rPr>
          <w:rFonts w:ascii="Open Sans" w:hAnsi="Open Sans" w:cs="Open Sans"/>
          <w:bCs/>
          <w:sz w:val="24"/>
          <w:szCs w:val="24"/>
        </w:rPr>
        <w:t xml:space="preserve"> hotel.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2º. Martes. Tel Aviv – Cesárea – Haifa – San Juan de Acre – Galilea</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 xml:space="preserve">Desayuno. Salida de la ciudad de Tel Aviv bordeando el Mar Mediterráneo hasta llegar a </w:t>
      </w:r>
      <w:proofErr w:type="spellStart"/>
      <w:r w:rsidRPr="007C0C13">
        <w:rPr>
          <w:rFonts w:ascii="Open Sans" w:hAnsi="Open Sans" w:cs="Open Sans"/>
          <w:bCs/>
          <w:sz w:val="24"/>
          <w:szCs w:val="24"/>
        </w:rPr>
        <w:t>Yaffo</w:t>
      </w:r>
      <w:proofErr w:type="spellEnd"/>
      <w:r w:rsidRPr="007C0C13">
        <w:rPr>
          <w:rFonts w:ascii="Open Sans" w:hAnsi="Open Sans" w:cs="Open Sans"/>
          <w:bCs/>
          <w:sz w:val="24"/>
          <w:szCs w:val="24"/>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7C0C13">
        <w:rPr>
          <w:rFonts w:ascii="Open Sans" w:hAnsi="Open Sans" w:cs="Open Sans"/>
          <w:bCs/>
          <w:sz w:val="24"/>
          <w:szCs w:val="24"/>
        </w:rPr>
        <w:t>Bahai</w:t>
      </w:r>
      <w:proofErr w:type="spellEnd"/>
      <w:r w:rsidRPr="007C0C13">
        <w:rPr>
          <w:rFonts w:ascii="Open Sans" w:hAnsi="Open Sans" w:cs="Open Sans"/>
          <w:bCs/>
          <w:sz w:val="24"/>
          <w:szCs w:val="24"/>
        </w:rPr>
        <w:t xml:space="preserve"> y sus Jardines Persas, y tendremos una vista panorámica de la ciudad y el puerto. Continuación a San Juan de Acre, capital de los Cruzados, visitando las fortalezas medievales. Llegada a Galilea. Cena y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3º. Miércoles. Nazaret – Monte del Precipicio – Monte Tabor – Cana de Galilea</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 xml:space="preserve">Día 4º. Jueves. Travesía en Barco – Bienaventuranzas – </w:t>
      </w:r>
      <w:proofErr w:type="spellStart"/>
      <w:r w:rsidRPr="007C0C13">
        <w:rPr>
          <w:rFonts w:ascii="Open Sans" w:hAnsi="Open Sans" w:cs="Open Sans"/>
          <w:b/>
          <w:bCs/>
          <w:sz w:val="24"/>
          <w:szCs w:val="24"/>
        </w:rPr>
        <w:t>Tabgha</w:t>
      </w:r>
      <w:proofErr w:type="spellEnd"/>
      <w:r w:rsidRPr="007C0C13">
        <w:rPr>
          <w:rFonts w:ascii="Open Sans" w:hAnsi="Open Sans" w:cs="Open Sans"/>
          <w:b/>
          <w:bCs/>
          <w:sz w:val="24"/>
          <w:szCs w:val="24"/>
        </w:rPr>
        <w:t xml:space="preserve"> – Cafarnaúm – Rio Jordán – Jerusalén</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 xml:space="preserve">Desayuno. Comenzaremos el día con una travesía en barco por el Mar de Galilea. Más tarde visitaremos el Monte de las Bienaventuranzas, donde tuvo lugar “El Sermón de la Montaña”, </w:t>
      </w:r>
      <w:proofErr w:type="spellStart"/>
      <w:r w:rsidRPr="007C0C13">
        <w:rPr>
          <w:rFonts w:ascii="Open Sans" w:hAnsi="Open Sans" w:cs="Open Sans"/>
          <w:bCs/>
          <w:sz w:val="24"/>
          <w:szCs w:val="24"/>
        </w:rPr>
        <w:t>Tabgha</w:t>
      </w:r>
      <w:proofErr w:type="spellEnd"/>
      <w:r w:rsidRPr="007C0C13">
        <w:rPr>
          <w:rFonts w:ascii="Open Sans" w:hAnsi="Open Sans" w:cs="Open Sans"/>
          <w:bCs/>
          <w:sz w:val="24"/>
          <w:szCs w:val="24"/>
        </w:rPr>
        <w:t xml:space="preserve">, lugar de la multiplicación de los panes y los peces, y Cafarnaúm, donde se encuentra la Casa de San Pedro y las ruinas </w:t>
      </w:r>
      <w:r w:rsidRPr="007C0C13">
        <w:rPr>
          <w:rFonts w:ascii="Open Sans" w:hAnsi="Open Sans" w:cs="Open Sans"/>
          <w:bCs/>
          <w:sz w:val="24"/>
          <w:szCs w:val="24"/>
        </w:rPr>
        <w:lastRenderedPageBreak/>
        <w:t>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 xml:space="preserve">Día 5º. Viernes. Jerusalén: Museo de Israel – </w:t>
      </w:r>
      <w:proofErr w:type="spellStart"/>
      <w:r w:rsidRPr="007C0C13">
        <w:rPr>
          <w:rFonts w:ascii="Open Sans" w:hAnsi="Open Sans" w:cs="Open Sans"/>
          <w:b/>
          <w:bCs/>
          <w:sz w:val="24"/>
          <w:szCs w:val="24"/>
        </w:rPr>
        <w:t>Ein</w:t>
      </w:r>
      <w:proofErr w:type="spellEnd"/>
      <w:r w:rsidRPr="007C0C13">
        <w:rPr>
          <w:rFonts w:ascii="Open Sans" w:hAnsi="Open Sans" w:cs="Open Sans"/>
          <w:b/>
          <w:bCs/>
          <w:sz w:val="24"/>
          <w:szCs w:val="24"/>
        </w:rPr>
        <w:t xml:space="preserve"> Karen – </w:t>
      </w:r>
      <w:proofErr w:type="spellStart"/>
      <w:r w:rsidRPr="007C0C13">
        <w:rPr>
          <w:rFonts w:ascii="Open Sans" w:hAnsi="Open Sans" w:cs="Open Sans"/>
          <w:b/>
          <w:bCs/>
          <w:sz w:val="24"/>
          <w:szCs w:val="24"/>
        </w:rPr>
        <w:t>Yad</w:t>
      </w:r>
      <w:proofErr w:type="spellEnd"/>
      <w:r w:rsidRPr="007C0C13">
        <w:rPr>
          <w:rFonts w:ascii="Open Sans" w:hAnsi="Open Sans" w:cs="Open Sans"/>
          <w:b/>
          <w:bCs/>
          <w:sz w:val="24"/>
          <w:szCs w:val="24"/>
        </w:rPr>
        <w:t xml:space="preserve"> </w:t>
      </w:r>
      <w:proofErr w:type="spellStart"/>
      <w:r w:rsidRPr="007C0C13">
        <w:rPr>
          <w:rFonts w:ascii="Open Sans" w:hAnsi="Open Sans" w:cs="Open Sans"/>
          <w:b/>
          <w:bCs/>
          <w:sz w:val="24"/>
          <w:szCs w:val="24"/>
        </w:rPr>
        <w:t>Vashem</w:t>
      </w:r>
      <w:proofErr w:type="spellEnd"/>
      <w:r w:rsidRPr="007C0C13">
        <w:rPr>
          <w:rFonts w:ascii="Open Sans" w:hAnsi="Open Sans" w:cs="Open Sans"/>
          <w:b/>
          <w:bCs/>
          <w:sz w:val="24"/>
          <w:szCs w:val="24"/>
        </w:rPr>
        <w:t xml:space="preserve"> – </w:t>
      </w:r>
      <w:proofErr w:type="spellStart"/>
      <w:r w:rsidRPr="007C0C13">
        <w:rPr>
          <w:rFonts w:ascii="Open Sans" w:hAnsi="Open Sans" w:cs="Open Sans"/>
          <w:b/>
          <w:bCs/>
          <w:sz w:val="24"/>
          <w:szCs w:val="24"/>
        </w:rPr>
        <w:t>Belen</w:t>
      </w:r>
      <w:proofErr w:type="spellEnd"/>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7C0C13">
        <w:rPr>
          <w:rFonts w:ascii="Open Sans" w:hAnsi="Open Sans" w:cs="Open Sans"/>
          <w:bCs/>
          <w:sz w:val="24"/>
          <w:szCs w:val="24"/>
        </w:rPr>
        <w:t>Yad</w:t>
      </w:r>
      <w:proofErr w:type="spellEnd"/>
      <w:r w:rsidRPr="007C0C13">
        <w:rPr>
          <w:rFonts w:ascii="Open Sans" w:hAnsi="Open Sans" w:cs="Open Sans"/>
          <w:bCs/>
          <w:sz w:val="24"/>
          <w:szCs w:val="24"/>
        </w:rPr>
        <w:t xml:space="preserve"> </w:t>
      </w:r>
      <w:proofErr w:type="spellStart"/>
      <w:r w:rsidRPr="007C0C13">
        <w:rPr>
          <w:rFonts w:ascii="Open Sans" w:hAnsi="Open Sans" w:cs="Open Sans"/>
          <w:bCs/>
          <w:sz w:val="24"/>
          <w:szCs w:val="24"/>
        </w:rPr>
        <w:t>Vashem</w:t>
      </w:r>
      <w:proofErr w:type="spellEnd"/>
      <w:r w:rsidRPr="007C0C13">
        <w:rPr>
          <w:rFonts w:ascii="Open Sans" w:hAnsi="Open Sans" w:cs="Open Sans"/>
          <w:bCs/>
          <w:sz w:val="24"/>
          <w:szCs w:val="24"/>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y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6º. Sábado. Muro de los Lamentos – Vía Dolorosa – Santo Sepulcro – Monte de los Olivos – Monte Sion</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7º. Domingo. Jerusalén – Aeropuerto Ben Gurion – El Cairo</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Desayuno. Traslado al Aeropuerto Ben Gurion para abordar el vuelo (vuelo no incluido) a El Cairo. Llegada, asistencia y traslado al hotel. Cena y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8º. Lunes. El Cairo</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 xml:space="preserve">Desayuno. Por la mañana visitaremos las famosas Pirámides de Keops, </w:t>
      </w:r>
      <w:proofErr w:type="spellStart"/>
      <w:r w:rsidRPr="007C0C13">
        <w:rPr>
          <w:rFonts w:ascii="Open Sans" w:hAnsi="Open Sans" w:cs="Open Sans"/>
          <w:bCs/>
          <w:sz w:val="24"/>
          <w:szCs w:val="24"/>
        </w:rPr>
        <w:t>Kefren</w:t>
      </w:r>
      <w:proofErr w:type="spellEnd"/>
      <w:r w:rsidRPr="007C0C13">
        <w:rPr>
          <w:rFonts w:ascii="Open Sans" w:hAnsi="Open Sans" w:cs="Open Sans"/>
          <w:bCs/>
          <w:sz w:val="24"/>
          <w:szCs w:val="24"/>
        </w:rPr>
        <w:t xml:space="preserve"> y </w:t>
      </w:r>
      <w:proofErr w:type="spellStart"/>
      <w:r w:rsidRPr="007C0C13">
        <w:rPr>
          <w:rFonts w:ascii="Open Sans" w:hAnsi="Open Sans" w:cs="Open Sans"/>
          <w:bCs/>
          <w:sz w:val="24"/>
          <w:szCs w:val="24"/>
        </w:rPr>
        <w:t>Micerinos</w:t>
      </w:r>
      <w:proofErr w:type="spellEnd"/>
      <w:r w:rsidRPr="007C0C13">
        <w:rPr>
          <w:rFonts w:ascii="Open Sans" w:hAnsi="Open Sans" w:cs="Open Sans"/>
          <w:bCs/>
          <w:sz w:val="24"/>
          <w:szCs w:val="24"/>
        </w:rPr>
        <w:t xml:space="preserve">, así como la impresionante Esfinge esculpida en la roca. Más tarde iremos al Instituto del Papiro, donde se mostrara el proceso artesanal utilizado </w:t>
      </w:r>
      <w:r w:rsidRPr="007C0C13">
        <w:rPr>
          <w:rFonts w:ascii="Open Sans" w:hAnsi="Open Sans" w:cs="Open Sans"/>
          <w:bCs/>
          <w:sz w:val="24"/>
          <w:szCs w:val="24"/>
        </w:rPr>
        <w:lastRenderedPageBreak/>
        <w:t xml:space="preserve">en la confección de los Papiros. Por la tarde visita del Museo Egipcio, con su arte milenario, donde se guarda el Tesoro de la Tumba de </w:t>
      </w:r>
      <w:proofErr w:type="spellStart"/>
      <w:r w:rsidRPr="007C0C13">
        <w:rPr>
          <w:rFonts w:ascii="Open Sans" w:hAnsi="Open Sans" w:cs="Open Sans"/>
          <w:bCs/>
          <w:sz w:val="24"/>
          <w:szCs w:val="24"/>
        </w:rPr>
        <w:t>Tutankhamon</w:t>
      </w:r>
      <w:proofErr w:type="spellEnd"/>
      <w:r w:rsidRPr="007C0C13">
        <w:rPr>
          <w:rFonts w:ascii="Open Sans" w:hAnsi="Open Sans" w:cs="Open Sans"/>
          <w:bCs/>
          <w:sz w:val="24"/>
          <w:szCs w:val="24"/>
        </w:rPr>
        <w:t xml:space="preserve">. También se visitara la Ciudadela de Saladino, la Mezquita de Alabastro y el Bazar </w:t>
      </w:r>
      <w:proofErr w:type="spellStart"/>
      <w:r w:rsidRPr="007C0C13">
        <w:rPr>
          <w:rFonts w:ascii="Open Sans" w:hAnsi="Open Sans" w:cs="Open Sans"/>
          <w:bCs/>
          <w:sz w:val="24"/>
          <w:szCs w:val="24"/>
        </w:rPr>
        <w:t>Khan</w:t>
      </w:r>
      <w:proofErr w:type="spellEnd"/>
      <w:r w:rsidRPr="007C0C13">
        <w:rPr>
          <w:rFonts w:ascii="Open Sans" w:hAnsi="Open Sans" w:cs="Open Sans"/>
          <w:bCs/>
          <w:sz w:val="24"/>
          <w:szCs w:val="24"/>
        </w:rPr>
        <w:t xml:space="preserve"> </w:t>
      </w:r>
      <w:proofErr w:type="spellStart"/>
      <w:r w:rsidRPr="007C0C13">
        <w:rPr>
          <w:rFonts w:ascii="Open Sans" w:hAnsi="Open Sans" w:cs="Open Sans"/>
          <w:bCs/>
          <w:sz w:val="24"/>
          <w:szCs w:val="24"/>
        </w:rPr>
        <w:t>Khalili</w:t>
      </w:r>
      <w:proofErr w:type="spellEnd"/>
      <w:r w:rsidRPr="007C0C13">
        <w:rPr>
          <w:rFonts w:ascii="Open Sans" w:hAnsi="Open Sans" w:cs="Open Sans"/>
          <w:bCs/>
          <w:sz w:val="24"/>
          <w:szCs w:val="24"/>
        </w:rPr>
        <w:t>. Cena y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9º. Martes. El Cairo</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 xml:space="preserve">Desayuno. Por la mañana visita de Memphis, centro de culto del Dios </w:t>
      </w:r>
      <w:proofErr w:type="spellStart"/>
      <w:r w:rsidRPr="007C0C13">
        <w:rPr>
          <w:rFonts w:ascii="Open Sans" w:hAnsi="Open Sans" w:cs="Open Sans"/>
          <w:bCs/>
          <w:sz w:val="24"/>
          <w:szCs w:val="24"/>
        </w:rPr>
        <w:t>Ptah</w:t>
      </w:r>
      <w:proofErr w:type="spellEnd"/>
      <w:r w:rsidRPr="007C0C13">
        <w:rPr>
          <w:rFonts w:ascii="Open Sans" w:hAnsi="Open Sans" w:cs="Open Sans"/>
          <w:bCs/>
          <w:sz w:val="24"/>
          <w:szCs w:val="24"/>
        </w:rPr>
        <w:t xml:space="preserve">. Fundada en tiempos de la dinastía I, sobrevivió a lo largo de las distintas dinastías faraónicas y se convirtió en una de las mayores ciudades de la Antigüedad. Entre sus monumentos arquitectónicos cabe destacar el Coloso de Ramsés II y la Esfinge de Alabastros. A continuación, visitaremos la Gran Necrópolis de </w:t>
      </w:r>
      <w:proofErr w:type="spellStart"/>
      <w:r w:rsidRPr="007C0C13">
        <w:rPr>
          <w:rFonts w:ascii="Open Sans" w:hAnsi="Open Sans" w:cs="Open Sans"/>
          <w:bCs/>
          <w:sz w:val="24"/>
          <w:szCs w:val="24"/>
        </w:rPr>
        <w:t>Sakkara</w:t>
      </w:r>
      <w:proofErr w:type="spellEnd"/>
      <w:r w:rsidRPr="007C0C13">
        <w:rPr>
          <w:rFonts w:ascii="Open Sans" w:hAnsi="Open Sans" w:cs="Open Sans"/>
          <w:bCs/>
          <w:sz w:val="24"/>
          <w:szCs w:val="24"/>
        </w:rPr>
        <w:t>, una de las más antiguas de Egipto. Allí se conservan los vestigios de los principales periodos de la historia antigua de Egipto, destacando la Pirámide Escalonada del Faraón. Regreso a El Cairo. Tarde libre. Por la noche, asistiremos a una cena a bordo de un barco sobre el Rio Nilo, para disfrutar del Folklore de este país, con su famosa Danza del Vientre. Alojamiento.</w:t>
      </w:r>
    </w:p>
    <w:p w:rsidR="00C7109E" w:rsidRPr="007C0C13" w:rsidRDefault="00C7109E" w:rsidP="00C7109E">
      <w:pPr>
        <w:jc w:val="both"/>
        <w:rPr>
          <w:rFonts w:ascii="Open Sans" w:hAnsi="Open Sans" w:cs="Open Sans"/>
          <w:b/>
          <w:bCs/>
          <w:sz w:val="24"/>
          <w:szCs w:val="24"/>
        </w:rPr>
      </w:pPr>
      <w:r w:rsidRPr="007C0C13">
        <w:rPr>
          <w:rFonts w:ascii="Open Sans" w:hAnsi="Open Sans" w:cs="Open Sans"/>
          <w:b/>
          <w:bCs/>
          <w:sz w:val="24"/>
          <w:szCs w:val="24"/>
        </w:rPr>
        <w:t>Día 10º. Miércoles. El Cairo – Aeropuerto Internacional</w:t>
      </w:r>
    </w:p>
    <w:p w:rsidR="00C7109E" w:rsidRPr="007C0C13" w:rsidRDefault="00C7109E" w:rsidP="00C7109E">
      <w:pPr>
        <w:jc w:val="both"/>
        <w:rPr>
          <w:rFonts w:ascii="Open Sans" w:hAnsi="Open Sans" w:cs="Open Sans"/>
          <w:bCs/>
          <w:sz w:val="24"/>
          <w:szCs w:val="24"/>
        </w:rPr>
      </w:pPr>
      <w:r w:rsidRPr="007C0C13">
        <w:rPr>
          <w:rFonts w:ascii="Open Sans" w:hAnsi="Open Sans" w:cs="Open Sans"/>
          <w:bCs/>
          <w:sz w:val="24"/>
          <w:szCs w:val="24"/>
        </w:rPr>
        <w:t>Desayuno. A la hora indicada traslado al aeropuerto Internacional de El Cairo</w:t>
      </w:r>
    </w:p>
    <w:p w:rsidR="00032C24" w:rsidRPr="007C0C13" w:rsidRDefault="005E2719" w:rsidP="005E2719">
      <w:pPr>
        <w:jc w:val="both"/>
        <w:rPr>
          <w:rFonts w:ascii="Open Sans" w:hAnsi="Open Sans" w:cs="Open Sans"/>
          <w:b/>
          <w:bCs/>
          <w:color w:val="FF0000"/>
          <w:sz w:val="24"/>
          <w:szCs w:val="24"/>
        </w:rPr>
      </w:pPr>
      <w:r w:rsidRPr="007C0C13">
        <w:rPr>
          <w:rFonts w:ascii="Open Sans" w:hAnsi="Open Sans" w:cs="Open Sans"/>
          <w:b/>
          <w:bCs/>
          <w:color w:val="FF0000"/>
          <w:sz w:val="24"/>
          <w:szCs w:val="24"/>
        </w:rPr>
        <w:t>Nota: Mínimo 2 Pasajeros</w:t>
      </w:r>
    </w:p>
    <w:p w:rsidR="00E82FC8" w:rsidRPr="007C0C13" w:rsidRDefault="00E82FC8" w:rsidP="00E82FC8">
      <w:pPr>
        <w:pStyle w:val="Default"/>
        <w:rPr>
          <w:rFonts w:ascii="Open Sans" w:hAnsi="Open Sans" w:cs="Open Sans"/>
          <w:b/>
          <w:bCs/>
          <w:iCs/>
          <w:sz w:val="28"/>
          <w:szCs w:val="28"/>
        </w:rPr>
      </w:pPr>
    </w:p>
    <w:p w:rsidR="002D0B4C" w:rsidRPr="007C0C13" w:rsidRDefault="002D0B4C" w:rsidP="002D0B4C">
      <w:pPr>
        <w:pStyle w:val="Default"/>
        <w:jc w:val="center"/>
        <w:rPr>
          <w:rFonts w:ascii="Open Sans" w:hAnsi="Open Sans" w:cs="Open Sans"/>
          <w:b/>
          <w:sz w:val="28"/>
          <w:szCs w:val="28"/>
        </w:rPr>
      </w:pPr>
      <w:r w:rsidRPr="007C0C13">
        <w:rPr>
          <w:rFonts w:ascii="Open Sans" w:hAnsi="Open Sans" w:cs="Open Sans"/>
          <w:b/>
          <w:bCs/>
          <w:iCs/>
          <w:sz w:val="28"/>
          <w:szCs w:val="28"/>
        </w:rPr>
        <w:t>Precios por persona en habitación doble o triple en dólares americanos:</w:t>
      </w:r>
    </w:p>
    <w:p w:rsidR="002D0B4C" w:rsidRPr="007C0C13" w:rsidRDefault="002D0B4C" w:rsidP="002D0B4C">
      <w:pPr>
        <w:jc w:val="center"/>
        <w:rPr>
          <w:rFonts w:ascii="Open Sans" w:hAnsi="Open Sans" w:cs="Open Sans"/>
          <w:b/>
          <w:bCs/>
          <w:color w:val="FF0000"/>
          <w:sz w:val="28"/>
          <w:szCs w:val="28"/>
        </w:rPr>
      </w:pPr>
      <w:r w:rsidRPr="007C0C13">
        <w:rPr>
          <w:rFonts w:ascii="Open Sans" w:hAnsi="Open Sans" w:cs="Open Sans"/>
          <w:b/>
          <w:bCs/>
          <w:iCs/>
          <w:sz w:val="28"/>
          <w:szCs w:val="28"/>
        </w:rPr>
        <w:t xml:space="preserve">Vigente desde el </w:t>
      </w:r>
      <w:r w:rsidR="008C54E8" w:rsidRPr="007C0C13">
        <w:rPr>
          <w:rFonts w:ascii="Open Sans" w:hAnsi="Open Sans" w:cs="Open Sans"/>
          <w:b/>
          <w:bCs/>
          <w:iCs/>
          <w:sz w:val="28"/>
          <w:szCs w:val="28"/>
        </w:rPr>
        <w:t>01-Marzo-2019</w:t>
      </w:r>
      <w:r w:rsidRPr="007C0C13">
        <w:rPr>
          <w:rFonts w:ascii="Open Sans" w:hAnsi="Open Sans" w:cs="Open Sans"/>
          <w:b/>
          <w:bCs/>
          <w:iCs/>
          <w:sz w:val="28"/>
          <w:szCs w:val="28"/>
        </w:rPr>
        <w:t xml:space="preserve"> al 2</w:t>
      </w:r>
      <w:r w:rsidR="008C54E8" w:rsidRPr="007C0C13">
        <w:rPr>
          <w:rFonts w:ascii="Open Sans" w:hAnsi="Open Sans" w:cs="Open Sans"/>
          <w:b/>
          <w:bCs/>
          <w:iCs/>
          <w:sz w:val="28"/>
          <w:szCs w:val="28"/>
        </w:rPr>
        <w:t>9-Febrero-2020</w:t>
      </w:r>
    </w:p>
    <w:tbl>
      <w:tblPr>
        <w:tblW w:w="9766" w:type="dxa"/>
        <w:tblLayout w:type="fixed"/>
        <w:tblCellMar>
          <w:left w:w="70" w:type="dxa"/>
          <w:right w:w="70" w:type="dxa"/>
        </w:tblCellMar>
        <w:tblLook w:val="04A0" w:firstRow="1" w:lastRow="0" w:firstColumn="1" w:lastColumn="0" w:noHBand="0" w:noVBand="1"/>
      </w:tblPr>
      <w:tblGrid>
        <w:gridCol w:w="741"/>
        <w:gridCol w:w="662"/>
        <w:gridCol w:w="850"/>
        <w:gridCol w:w="725"/>
        <w:gridCol w:w="835"/>
        <w:gridCol w:w="850"/>
        <w:gridCol w:w="992"/>
        <w:gridCol w:w="993"/>
        <w:gridCol w:w="708"/>
        <w:gridCol w:w="725"/>
        <w:gridCol w:w="725"/>
        <w:gridCol w:w="772"/>
        <w:gridCol w:w="188"/>
      </w:tblGrid>
      <w:tr w:rsidR="009862B6" w:rsidRPr="007C0C13" w:rsidTr="007C0C13">
        <w:trPr>
          <w:trHeight w:val="495"/>
        </w:trPr>
        <w:tc>
          <w:tcPr>
            <w:tcW w:w="9766" w:type="dxa"/>
            <w:gridSpan w:val="13"/>
            <w:tcBorders>
              <w:top w:val="single" w:sz="12" w:space="0" w:color="auto"/>
              <w:left w:val="single" w:sz="12" w:space="0" w:color="auto"/>
              <w:bottom w:val="single" w:sz="12" w:space="0" w:color="auto"/>
              <w:right w:val="single" w:sz="12" w:space="0" w:color="000000"/>
            </w:tcBorders>
            <w:shd w:val="clear" w:color="auto" w:fill="1F4E79" w:themeFill="accent1" w:themeFillShade="80"/>
            <w:vAlign w:val="center"/>
            <w:hideMark/>
          </w:tcPr>
          <w:p w:rsidR="009862B6" w:rsidRPr="007C0C13" w:rsidRDefault="009862B6" w:rsidP="009862B6">
            <w:pPr>
              <w:spacing w:after="0" w:line="240" w:lineRule="auto"/>
              <w:jc w:val="center"/>
              <w:rPr>
                <w:rFonts w:ascii="Open Sans" w:eastAsia="Times New Roman" w:hAnsi="Open Sans" w:cs="Open Sans"/>
                <w:b/>
                <w:bCs/>
                <w:iCs/>
                <w:color w:val="FFFFFF"/>
                <w:sz w:val="36"/>
                <w:szCs w:val="36"/>
                <w:lang w:eastAsia="es-GT"/>
              </w:rPr>
            </w:pPr>
            <w:r w:rsidRPr="007C0C13">
              <w:rPr>
                <w:rFonts w:ascii="Open Sans" w:eastAsia="Times New Roman" w:hAnsi="Open Sans" w:cs="Open Sans"/>
                <w:b/>
                <w:bCs/>
                <w:iCs/>
                <w:color w:val="FFFFFF"/>
                <w:sz w:val="36"/>
                <w:szCs w:val="36"/>
                <w:lang w:eastAsia="es-GT"/>
              </w:rPr>
              <w:t>Circuito Tierra Santa y El Cairo</w:t>
            </w:r>
          </w:p>
        </w:tc>
      </w:tr>
      <w:tr w:rsidR="009862B6" w:rsidRPr="007C0C13" w:rsidTr="009862B6">
        <w:trPr>
          <w:gridAfter w:val="1"/>
          <w:wAfter w:w="188" w:type="dxa"/>
          <w:trHeight w:val="330"/>
        </w:trPr>
        <w:tc>
          <w:tcPr>
            <w:tcW w:w="741" w:type="dxa"/>
            <w:vMerge w:val="restart"/>
            <w:tcBorders>
              <w:top w:val="nil"/>
              <w:left w:val="single" w:sz="12" w:space="0" w:color="auto"/>
              <w:bottom w:val="single" w:sz="12"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Fecha</w:t>
            </w:r>
          </w:p>
        </w:tc>
        <w:tc>
          <w:tcPr>
            <w:tcW w:w="66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Desde</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04-mar</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15-abr</w:t>
            </w:r>
          </w:p>
        </w:tc>
        <w:tc>
          <w:tcPr>
            <w:tcW w:w="83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22-abr</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29-abr</w:t>
            </w:r>
          </w:p>
        </w:tc>
        <w:tc>
          <w:tcPr>
            <w:tcW w:w="99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23-sep</w:t>
            </w:r>
          </w:p>
        </w:tc>
        <w:tc>
          <w:tcPr>
            <w:tcW w:w="993"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30-sep</w:t>
            </w:r>
          </w:p>
        </w:tc>
        <w:tc>
          <w:tcPr>
            <w:tcW w:w="708"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07-oct</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14-oct</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21-oct</w:t>
            </w:r>
          </w:p>
        </w:tc>
        <w:tc>
          <w:tcPr>
            <w:tcW w:w="772" w:type="dxa"/>
            <w:vMerge w:val="restart"/>
            <w:tcBorders>
              <w:top w:val="nil"/>
              <w:left w:val="single" w:sz="12" w:space="0" w:color="auto"/>
              <w:bottom w:val="single" w:sz="12"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0"/>
                <w:szCs w:val="20"/>
                <w:lang w:eastAsia="es-GT"/>
              </w:rPr>
            </w:pPr>
            <w:proofErr w:type="spellStart"/>
            <w:r w:rsidRPr="007C0C13">
              <w:rPr>
                <w:rFonts w:ascii="Open Sans" w:eastAsia="Times New Roman" w:hAnsi="Open Sans" w:cs="Open Sans"/>
                <w:b/>
                <w:bCs/>
                <w:iCs/>
                <w:color w:val="000000"/>
                <w:sz w:val="20"/>
                <w:szCs w:val="20"/>
                <w:lang w:eastAsia="es-GT"/>
              </w:rPr>
              <w:t>Supl</w:t>
            </w:r>
            <w:proofErr w:type="spellEnd"/>
            <w:r w:rsidRPr="007C0C13">
              <w:rPr>
                <w:rFonts w:ascii="Open Sans" w:eastAsia="Times New Roman" w:hAnsi="Open Sans" w:cs="Open Sans"/>
                <w:b/>
                <w:bCs/>
                <w:iCs/>
                <w:color w:val="000000"/>
                <w:sz w:val="20"/>
                <w:szCs w:val="20"/>
                <w:lang w:eastAsia="es-GT"/>
              </w:rPr>
              <w:t xml:space="preserve">. </w:t>
            </w:r>
            <w:proofErr w:type="spellStart"/>
            <w:r w:rsidRPr="007C0C13">
              <w:rPr>
                <w:rFonts w:ascii="Open Sans" w:eastAsia="Times New Roman" w:hAnsi="Open Sans" w:cs="Open Sans"/>
                <w:b/>
                <w:bCs/>
                <w:iCs/>
                <w:color w:val="000000"/>
                <w:sz w:val="20"/>
                <w:szCs w:val="20"/>
                <w:lang w:eastAsia="es-GT"/>
              </w:rPr>
              <w:t>Indiv</w:t>
            </w:r>
            <w:proofErr w:type="spellEnd"/>
            <w:r w:rsidRPr="007C0C13">
              <w:rPr>
                <w:rFonts w:ascii="Open Sans" w:eastAsia="Times New Roman" w:hAnsi="Open Sans" w:cs="Open Sans"/>
                <w:b/>
                <w:bCs/>
                <w:iCs/>
                <w:color w:val="000000"/>
                <w:sz w:val="20"/>
                <w:szCs w:val="20"/>
                <w:lang w:eastAsia="es-GT"/>
              </w:rPr>
              <w:t>.</w:t>
            </w:r>
          </w:p>
        </w:tc>
      </w:tr>
      <w:tr w:rsidR="009862B6" w:rsidRPr="007C0C13" w:rsidTr="009862B6">
        <w:trPr>
          <w:gridAfter w:val="1"/>
          <w:wAfter w:w="188" w:type="dxa"/>
          <w:trHeight w:val="315"/>
        </w:trPr>
        <w:tc>
          <w:tcPr>
            <w:tcW w:w="741" w:type="dxa"/>
            <w:vMerge/>
            <w:tcBorders>
              <w:top w:val="nil"/>
              <w:left w:val="single" w:sz="12" w:space="0" w:color="auto"/>
              <w:bottom w:val="single" w:sz="12"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iCs/>
                <w:color w:val="000000"/>
                <w:sz w:val="18"/>
                <w:szCs w:val="18"/>
                <w:lang w:eastAsia="es-GT"/>
              </w:rPr>
            </w:pPr>
          </w:p>
        </w:tc>
        <w:tc>
          <w:tcPr>
            <w:tcW w:w="662"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Hasta</w:t>
            </w:r>
          </w:p>
        </w:tc>
        <w:tc>
          <w:tcPr>
            <w:tcW w:w="850"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14-abr</w:t>
            </w:r>
          </w:p>
        </w:tc>
        <w:tc>
          <w:tcPr>
            <w:tcW w:w="725"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21-abr</w:t>
            </w:r>
          </w:p>
        </w:tc>
        <w:tc>
          <w:tcPr>
            <w:tcW w:w="835"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28-abr</w:t>
            </w:r>
          </w:p>
        </w:tc>
        <w:tc>
          <w:tcPr>
            <w:tcW w:w="850"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22-sep</w:t>
            </w:r>
          </w:p>
        </w:tc>
        <w:tc>
          <w:tcPr>
            <w:tcW w:w="992"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29-sep</w:t>
            </w:r>
          </w:p>
        </w:tc>
        <w:tc>
          <w:tcPr>
            <w:tcW w:w="993"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06-oct</w:t>
            </w:r>
          </w:p>
        </w:tc>
        <w:tc>
          <w:tcPr>
            <w:tcW w:w="708"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13-oct</w:t>
            </w:r>
          </w:p>
        </w:tc>
        <w:tc>
          <w:tcPr>
            <w:tcW w:w="725"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20-oct</w:t>
            </w:r>
          </w:p>
        </w:tc>
        <w:tc>
          <w:tcPr>
            <w:tcW w:w="725" w:type="dxa"/>
            <w:tcBorders>
              <w:top w:val="nil"/>
              <w:left w:val="nil"/>
              <w:bottom w:val="single" w:sz="12"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21"/>
                <w:szCs w:val="21"/>
                <w:lang w:eastAsia="es-GT"/>
              </w:rPr>
            </w:pPr>
            <w:r w:rsidRPr="007C0C13">
              <w:rPr>
                <w:rFonts w:ascii="Open Sans" w:eastAsia="Times New Roman" w:hAnsi="Open Sans" w:cs="Open Sans"/>
                <w:b/>
                <w:bCs/>
                <w:iCs/>
                <w:color w:val="000000"/>
                <w:sz w:val="21"/>
                <w:szCs w:val="21"/>
                <w:lang w:eastAsia="es-GT"/>
              </w:rPr>
              <w:t>23-feb</w:t>
            </w:r>
          </w:p>
        </w:tc>
        <w:tc>
          <w:tcPr>
            <w:tcW w:w="772" w:type="dxa"/>
            <w:vMerge/>
            <w:tcBorders>
              <w:top w:val="nil"/>
              <w:left w:val="single" w:sz="12" w:space="0" w:color="auto"/>
              <w:bottom w:val="single" w:sz="12"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iCs/>
                <w:color w:val="000000"/>
                <w:sz w:val="20"/>
                <w:szCs w:val="20"/>
                <w:lang w:eastAsia="es-GT"/>
              </w:rPr>
            </w:pPr>
          </w:p>
        </w:tc>
      </w:tr>
      <w:tr w:rsidR="009862B6" w:rsidRPr="007C0C13" w:rsidTr="007C0C13">
        <w:trPr>
          <w:gridAfter w:val="1"/>
          <w:wAfter w:w="188" w:type="dxa"/>
          <w:trHeight w:val="330"/>
        </w:trPr>
        <w:tc>
          <w:tcPr>
            <w:tcW w:w="741" w:type="dxa"/>
            <w:vMerge w:val="restart"/>
            <w:tcBorders>
              <w:top w:val="single" w:sz="8" w:space="0" w:color="auto"/>
              <w:left w:val="single" w:sz="12" w:space="0" w:color="auto"/>
              <w:bottom w:val="single" w:sz="8"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Primera</w:t>
            </w:r>
          </w:p>
        </w:tc>
        <w:tc>
          <w:tcPr>
            <w:tcW w:w="66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BB</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$1,700</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$1,777</w:t>
            </w:r>
          </w:p>
        </w:tc>
        <w:tc>
          <w:tcPr>
            <w:tcW w:w="83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$1,856</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$1,700</w:t>
            </w:r>
          </w:p>
        </w:tc>
        <w:tc>
          <w:tcPr>
            <w:tcW w:w="99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$1,836</w:t>
            </w:r>
          </w:p>
        </w:tc>
        <w:tc>
          <w:tcPr>
            <w:tcW w:w="993"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$1,759</w:t>
            </w:r>
          </w:p>
        </w:tc>
        <w:tc>
          <w:tcPr>
            <w:tcW w:w="708" w:type="dxa"/>
            <w:vMerge w:val="restart"/>
            <w:tcBorders>
              <w:top w:val="nil"/>
              <w:left w:val="single" w:sz="12" w:space="0" w:color="auto"/>
              <w:bottom w:val="single" w:sz="12" w:space="0" w:color="000000"/>
              <w:right w:val="single" w:sz="12" w:space="0" w:color="auto"/>
            </w:tcBorders>
            <w:shd w:val="clear" w:color="auto" w:fill="1F4E79" w:themeFill="accent1" w:themeFillShade="80"/>
            <w:vAlign w:val="center"/>
            <w:hideMark/>
          </w:tcPr>
          <w:p w:rsidR="009862B6" w:rsidRPr="007C0C13" w:rsidRDefault="009862B6" w:rsidP="009862B6">
            <w:pPr>
              <w:spacing w:after="0" w:line="240" w:lineRule="auto"/>
              <w:jc w:val="center"/>
              <w:rPr>
                <w:rFonts w:ascii="Open Sans" w:eastAsia="Times New Roman" w:hAnsi="Open Sans" w:cs="Open Sans"/>
                <w:b/>
                <w:bCs/>
                <w:color w:val="FFFFFF"/>
                <w:sz w:val="19"/>
                <w:szCs w:val="19"/>
                <w:lang w:eastAsia="es-GT"/>
              </w:rPr>
            </w:pPr>
            <w:r w:rsidRPr="007C0C13">
              <w:rPr>
                <w:rFonts w:ascii="Open Sans" w:eastAsia="Times New Roman" w:hAnsi="Open Sans" w:cs="Open Sans"/>
                <w:b/>
                <w:bCs/>
                <w:color w:val="FFFFFF"/>
                <w:sz w:val="19"/>
                <w:szCs w:val="19"/>
                <w:lang w:eastAsia="es-GT"/>
              </w:rPr>
              <w:t> </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$1,874</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$1,759</w:t>
            </w:r>
          </w:p>
        </w:tc>
        <w:tc>
          <w:tcPr>
            <w:tcW w:w="772" w:type="dxa"/>
            <w:vMerge w:val="restart"/>
            <w:tcBorders>
              <w:top w:val="nil"/>
              <w:left w:val="single" w:sz="12" w:space="0" w:color="auto"/>
              <w:bottom w:val="single" w:sz="12"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$777</w:t>
            </w:r>
          </w:p>
        </w:tc>
      </w:tr>
      <w:tr w:rsidR="009862B6" w:rsidRPr="007C0C13" w:rsidTr="007C0C13">
        <w:trPr>
          <w:gridAfter w:val="1"/>
          <w:wAfter w:w="188" w:type="dxa"/>
          <w:trHeight w:val="315"/>
        </w:trPr>
        <w:tc>
          <w:tcPr>
            <w:tcW w:w="741" w:type="dxa"/>
            <w:vMerge/>
            <w:tcBorders>
              <w:top w:val="single" w:sz="8" w:space="0" w:color="auto"/>
              <w:left w:val="single" w:sz="12" w:space="0" w:color="auto"/>
              <w:bottom w:val="single" w:sz="8"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iCs/>
                <w:color w:val="000000"/>
                <w:sz w:val="18"/>
                <w:szCs w:val="18"/>
                <w:lang w:eastAsia="es-GT"/>
              </w:rPr>
            </w:pPr>
          </w:p>
        </w:tc>
        <w:tc>
          <w:tcPr>
            <w:tcW w:w="662" w:type="dxa"/>
            <w:tcBorders>
              <w:top w:val="nil"/>
              <w:left w:val="nil"/>
              <w:bottom w:val="single" w:sz="12" w:space="0" w:color="auto"/>
              <w:right w:val="single" w:sz="12" w:space="0" w:color="auto"/>
            </w:tcBorders>
            <w:shd w:val="pct12" w:color="000000" w:fill="D9D9D9"/>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HB</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$1,826</w:t>
            </w: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$1,904</w:t>
            </w:r>
          </w:p>
        </w:tc>
        <w:tc>
          <w:tcPr>
            <w:tcW w:w="83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$1,981</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$1,826</w:t>
            </w:r>
          </w:p>
        </w:tc>
        <w:tc>
          <w:tcPr>
            <w:tcW w:w="992"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$1,963</w:t>
            </w:r>
          </w:p>
        </w:tc>
        <w:tc>
          <w:tcPr>
            <w:tcW w:w="993"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$1,884</w:t>
            </w:r>
          </w:p>
        </w:tc>
        <w:tc>
          <w:tcPr>
            <w:tcW w:w="708" w:type="dxa"/>
            <w:vMerge/>
            <w:tcBorders>
              <w:top w:val="nil"/>
              <w:left w:val="single" w:sz="12" w:space="0" w:color="auto"/>
              <w:bottom w:val="single" w:sz="12" w:space="0" w:color="000000"/>
              <w:right w:val="single" w:sz="12" w:space="0" w:color="auto"/>
            </w:tcBorders>
            <w:shd w:val="clear" w:color="auto" w:fill="1F4E79" w:themeFill="accent1" w:themeFillShade="80"/>
            <w:vAlign w:val="center"/>
            <w:hideMark/>
          </w:tcPr>
          <w:p w:rsidR="009862B6" w:rsidRPr="007C0C13" w:rsidRDefault="009862B6" w:rsidP="009862B6">
            <w:pPr>
              <w:spacing w:after="0" w:line="240" w:lineRule="auto"/>
              <w:rPr>
                <w:rFonts w:ascii="Open Sans" w:eastAsia="Times New Roman" w:hAnsi="Open Sans" w:cs="Open Sans"/>
                <w:b/>
                <w:bCs/>
                <w:color w:val="FFFFFF"/>
                <w:sz w:val="19"/>
                <w:szCs w:val="19"/>
                <w:lang w:eastAsia="es-GT"/>
              </w:rPr>
            </w:pP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$2,001</w:t>
            </w: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$1,884</w:t>
            </w:r>
          </w:p>
        </w:tc>
        <w:tc>
          <w:tcPr>
            <w:tcW w:w="772" w:type="dxa"/>
            <w:vMerge/>
            <w:tcBorders>
              <w:top w:val="nil"/>
              <w:left w:val="single" w:sz="12" w:space="0" w:color="auto"/>
              <w:bottom w:val="single" w:sz="12"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color w:val="000000"/>
                <w:sz w:val="21"/>
                <w:szCs w:val="21"/>
                <w:lang w:eastAsia="es-GT"/>
              </w:rPr>
            </w:pPr>
          </w:p>
        </w:tc>
      </w:tr>
      <w:tr w:rsidR="009862B6" w:rsidRPr="007C0C13" w:rsidTr="007C0C13">
        <w:trPr>
          <w:gridAfter w:val="1"/>
          <w:wAfter w:w="188" w:type="dxa"/>
          <w:trHeight w:val="330"/>
        </w:trPr>
        <w:tc>
          <w:tcPr>
            <w:tcW w:w="741" w:type="dxa"/>
            <w:vMerge w:val="restart"/>
            <w:tcBorders>
              <w:top w:val="nil"/>
              <w:left w:val="single" w:sz="12" w:space="0" w:color="auto"/>
              <w:bottom w:val="single" w:sz="12"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lastRenderedPageBreak/>
              <w:t>Primera Superior</w:t>
            </w:r>
          </w:p>
        </w:tc>
        <w:tc>
          <w:tcPr>
            <w:tcW w:w="66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BB</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$2,273</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$2,463</w:t>
            </w:r>
          </w:p>
        </w:tc>
        <w:tc>
          <w:tcPr>
            <w:tcW w:w="83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$2,463</w:t>
            </w:r>
          </w:p>
        </w:tc>
        <w:tc>
          <w:tcPr>
            <w:tcW w:w="850"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$2,273</w:t>
            </w:r>
          </w:p>
        </w:tc>
        <w:tc>
          <w:tcPr>
            <w:tcW w:w="992"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$2,487</w:t>
            </w:r>
          </w:p>
        </w:tc>
        <w:tc>
          <w:tcPr>
            <w:tcW w:w="993"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$2,346</w:t>
            </w:r>
          </w:p>
        </w:tc>
        <w:tc>
          <w:tcPr>
            <w:tcW w:w="708" w:type="dxa"/>
            <w:vMerge/>
            <w:tcBorders>
              <w:top w:val="nil"/>
              <w:left w:val="single" w:sz="12" w:space="0" w:color="auto"/>
              <w:bottom w:val="single" w:sz="12" w:space="0" w:color="000000"/>
              <w:right w:val="single" w:sz="12" w:space="0" w:color="auto"/>
            </w:tcBorders>
            <w:shd w:val="clear" w:color="auto" w:fill="1F4E79" w:themeFill="accent1" w:themeFillShade="80"/>
            <w:vAlign w:val="center"/>
            <w:hideMark/>
          </w:tcPr>
          <w:p w:rsidR="009862B6" w:rsidRPr="007C0C13" w:rsidRDefault="009862B6" w:rsidP="009862B6">
            <w:pPr>
              <w:spacing w:after="0" w:line="240" w:lineRule="auto"/>
              <w:rPr>
                <w:rFonts w:ascii="Open Sans" w:eastAsia="Times New Roman" w:hAnsi="Open Sans" w:cs="Open Sans"/>
                <w:b/>
                <w:bCs/>
                <w:color w:val="FFFFFF"/>
                <w:sz w:val="19"/>
                <w:szCs w:val="19"/>
                <w:lang w:eastAsia="es-GT"/>
              </w:rPr>
            </w:pP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$2,536</w:t>
            </w:r>
          </w:p>
        </w:tc>
        <w:tc>
          <w:tcPr>
            <w:tcW w:w="725" w:type="dxa"/>
            <w:tcBorders>
              <w:top w:val="nil"/>
              <w:left w:val="nil"/>
              <w:bottom w:val="single" w:sz="8" w:space="0" w:color="auto"/>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$2,346</w:t>
            </w:r>
          </w:p>
        </w:tc>
        <w:tc>
          <w:tcPr>
            <w:tcW w:w="772" w:type="dxa"/>
            <w:vMerge w:val="restart"/>
            <w:tcBorders>
              <w:top w:val="nil"/>
              <w:left w:val="single" w:sz="12" w:space="0" w:color="auto"/>
              <w:bottom w:val="single" w:sz="12" w:space="0" w:color="000000"/>
              <w:right w:val="single" w:sz="12" w:space="0" w:color="auto"/>
            </w:tcBorders>
            <w:shd w:val="clear" w:color="auto" w:fill="auto"/>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$1,311</w:t>
            </w:r>
          </w:p>
        </w:tc>
      </w:tr>
      <w:tr w:rsidR="009862B6" w:rsidRPr="007C0C13" w:rsidTr="007C0C13">
        <w:trPr>
          <w:gridAfter w:val="1"/>
          <w:wAfter w:w="188" w:type="dxa"/>
          <w:trHeight w:val="315"/>
        </w:trPr>
        <w:tc>
          <w:tcPr>
            <w:tcW w:w="741" w:type="dxa"/>
            <w:vMerge/>
            <w:tcBorders>
              <w:top w:val="nil"/>
              <w:left w:val="single" w:sz="12" w:space="0" w:color="auto"/>
              <w:bottom w:val="single" w:sz="12"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iCs/>
                <w:color w:val="000000"/>
                <w:sz w:val="18"/>
                <w:szCs w:val="18"/>
                <w:lang w:eastAsia="es-GT"/>
              </w:rPr>
            </w:pPr>
          </w:p>
        </w:tc>
        <w:tc>
          <w:tcPr>
            <w:tcW w:w="662" w:type="dxa"/>
            <w:tcBorders>
              <w:top w:val="nil"/>
              <w:left w:val="nil"/>
              <w:bottom w:val="single" w:sz="12" w:space="0" w:color="auto"/>
              <w:right w:val="single" w:sz="12" w:space="0" w:color="auto"/>
            </w:tcBorders>
            <w:shd w:val="pct12" w:color="000000" w:fill="D9D9D9"/>
            <w:vAlign w:val="center"/>
            <w:hideMark/>
          </w:tcPr>
          <w:p w:rsidR="009862B6" w:rsidRPr="007C0C13" w:rsidRDefault="009862B6" w:rsidP="009862B6">
            <w:pPr>
              <w:spacing w:after="0" w:line="240" w:lineRule="auto"/>
              <w:jc w:val="center"/>
              <w:rPr>
                <w:rFonts w:ascii="Open Sans" w:eastAsia="Times New Roman" w:hAnsi="Open Sans" w:cs="Open Sans"/>
                <w:b/>
                <w:bCs/>
                <w:iCs/>
                <w:color w:val="000000"/>
                <w:sz w:val="18"/>
                <w:szCs w:val="18"/>
                <w:lang w:eastAsia="es-GT"/>
              </w:rPr>
            </w:pPr>
            <w:r w:rsidRPr="007C0C13">
              <w:rPr>
                <w:rFonts w:ascii="Open Sans" w:eastAsia="Times New Roman" w:hAnsi="Open Sans" w:cs="Open Sans"/>
                <w:b/>
                <w:bCs/>
                <w:iCs/>
                <w:color w:val="000000"/>
                <w:sz w:val="18"/>
                <w:szCs w:val="18"/>
                <w:lang w:eastAsia="es-GT"/>
              </w:rPr>
              <w:t>HB</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$2,467</w:t>
            </w: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$2,657</w:t>
            </w:r>
          </w:p>
        </w:tc>
        <w:tc>
          <w:tcPr>
            <w:tcW w:w="83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$2,657</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$2,467</w:t>
            </w:r>
          </w:p>
        </w:tc>
        <w:tc>
          <w:tcPr>
            <w:tcW w:w="992"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$2,681</w:t>
            </w:r>
          </w:p>
        </w:tc>
        <w:tc>
          <w:tcPr>
            <w:tcW w:w="993"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$2,540</w:t>
            </w:r>
          </w:p>
        </w:tc>
        <w:tc>
          <w:tcPr>
            <w:tcW w:w="708" w:type="dxa"/>
            <w:vMerge/>
            <w:tcBorders>
              <w:top w:val="nil"/>
              <w:left w:val="single" w:sz="12" w:space="0" w:color="auto"/>
              <w:bottom w:val="single" w:sz="12" w:space="0" w:color="000000"/>
              <w:right w:val="single" w:sz="12" w:space="0" w:color="auto"/>
            </w:tcBorders>
            <w:shd w:val="clear" w:color="auto" w:fill="1F4E79" w:themeFill="accent1" w:themeFillShade="80"/>
            <w:vAlign w:val="center"/>
            <w:hideMark/>
          </w:tcPr>
          <w:p w:rsidR="009862B6" w:rsidRPr="007C0C13" w:rsidRDefault="009862B6" w:rsidP="009862B6">
            <w:pPr>
              <w:spacing w:after="0" w:line="240" w:lineRule="auto"/>
              <w:rPr>
                <w:rFonts w:ascii="Open Sans" w:eastAsia="Times New Roman" w:hAnsi="Open Sans" w:cs="Open Sans"/>
                <w:b/>
                <w:bCs/>
                <w:color w:val="FFFFFF"/>
                <w:sz w:val="19"/>
                <w:szCs w:val="19"/>
                <w:lang w:eastAsia="es-GT"/>
              </w:rPr>
            </w:pP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$2,730</w:t>
            </w:r>
          </w:p>
        </w:tc>
        <w:tc>
          <w:tcPr>
            <w:tcW w:w="725" w:type="dxa"/>
            <w:tcBorders>
              <w:top w:val="nil"/>
              <w:left w:val="nil"/>
              <w:bottom w:val="single" w:sz="8" w:space="0" w:color="auto"/>
              <w:right w:val="single" w:sz="12" w:space="0" w:color="auto"/>
            </w:tcBorders>
            <w:shd w:val="clear" w:color="auto" w:fill="D0CECE" w:themeFill="background2" w:themeFillShade="E6"/>
            <w:vAlign w:val="center"/>
            <w:hideMark/>
          </w:tcPr>
          <w:p w:rsidR="009862B6" w:rsidRPr="007C0C13" w:rsidRDefault="009862B6" w:rsidP="009862B6">
            <w:pPr>
              <w:spacing w:after="0" w:line="240" w:lineRule="auto"/>
              <w:jc w:val="center"/>
              <w:rPr>
                <w:rFonts w:ascii="Open Sans" w:eastAsia="Times New Roman" w:hAnsi="Open Sans" w:cs="Open Sans"/>
                <w:b/>
                <w:bCs/>
                <w:color w:val="000000"/>
                <w:sz w:val="21"/>
                <w:szCs w:val="21"/>
                <w:lang w:eastAsia="es-GT"/>
              </w:rPr>
            </w:pPr>
            <w:r w:rsidRPr="007C0C13">
              <w:rPr>
                <w:rFonts w:ascii="Open Sans" w:eastAsia="Times New Roman" w:hAnsi="Open Sans" w:cs="Open Sans"/>
                <w:b/>
                <w:bCs/>
                <w:color w:val="000000"/>
                <w:sz w:val="21"/>
                <w:szCs w:val="21"/>
                <w:lang w:eastAsia="es-GT"/>
              </w:rPr>
              <w:t>$2,540</w:t>
            </w:r>
          </w:p>
        </w:tc>
        <w:tc>
          <w:tcPr>
            <w:tcW w:w="772" w:type="dxa"/>
            <w:vMerge/>
            <w:tcBorders>
              <w:top w:val="nil"/>
              <w:left w:val="single" w:sz="12" w:space="0" w:color="auto"/>
              <w:bottom w:val="single" w:sz="12" w:space="0" w:color="000000"/>
              <w:right w:val="single" w:sz="12" w:space="0" w:color="auto"/>
            </w:tcBorders>
            <w:vAlign w:val="center"/>
            <w:hideMark/>
          </w:tcPr>
          <w:p w:rsidR="009862B6" w:rsidRPr="007C0C13" w:rsidRDefault="009862B6" w:rsidP="009862B6">
            <w:pPr>
              <w:spacing w:after="0" w:line="240" w:lineRule="auto"/>
              <w:rPr>
                <w:rFonts w:ascii="Open Sans" w:eastAsia="Times New Roman" w:hAnsi="Open Sans" w:cs="Open Sans"/>
                <w:b/>
                <w:bCs/>
                <w:color w:val="000000"/>
                <w:sz w:val="21"/>
                <w:szCs w:val="21"/>
                <w:lang w:eastAsia="es-GT"/>
              </w:rPr>
            </w:pPr>
          </w:p>
        </w:tc>
      </w:tr>
      <w:tr w:rsidR="009862B6" w:rsidRPr="007C0C13" w:rsidTr="007C0C13">
        <w:trPr>
          <w:trHeight w:val="315"/>
        </w:trPr>
        <w:tc>
          <w:tcPr>
            <w:tcW w:w="9766" w:type="dxa"/>
            <w:gridSpan w:val="13"/>
            <w:tcBorders>
              <w:top w:val="single" w:sz="12" w:space="0" w:color="auto"/>
              <w:left w:val="single" w:sz="12" w:space="0" w:color="auto"/>
              <w:bottom w:val="nil"/>
              <w:right w:val="single" w:sz="12" w:space="0" w:color="000000"/>
            </w:tcBorders>
            <w:shd w:val="clear" w:color="auto" w:fill="1F4E79" w:themeFill="accent1" w:themeFillShade="80"/>
            <w:vAlign w:val="center"/>
            <w:hideMark/>
          </w:tcPr>
          <w:p w:rsidR="009862B6" w:rsidRPr="007C0C13" w:rsidRDefault="009862B6" w:rsidP="009862B6">
            <w:pPr>
              <w:spacing w:after="0" w:line="240" w:lineRule="auto"/>
              <w:jc w:val="center"/>
              <w:rPr>
                <w:rFonts w:ascii="Open Sans" w:eastAsia="Times New Roman" w:hAnsi="Open Sans" w:cs="Open Sans"/>
                <w:b/>
                <w:bCs/>
                <w:iCs/>
                <w:color w:val="FFFFFF"/>
                <w:lang w:eastAsia="es-GT"/>
              </w:rPr>
            </w:pPr>
            <w:r w:rsidRPr="007C0C13">
              <w:rPr>
                <w:rFonts w:ascii="Open Sans" w:eastAsia="Times New Roman" w:hAnsi="Open Sans" w:cs="Open Sans"/>
                <w:b/>
                <w:bCs/>
                <w:iCs/>
                <w:color w:val="FFFFFF"/>
                <w:lang w:eastAsia="es-GT"/>
              </w:rPr>
              <w:t>BB - alojamiento y desayuno / HB - media pensión (desayuno y cena)</w:t>
            </w:r>
          </w:p>
        </w:tc>
      </w:tr>
      <w:tr w:rsidR="009862B6" w:rsidRPr="007C0C13" w:rsidTr="007C0C13">
        <w:trPr>
          <w:trHeight w:val="300"/>
        </w:trPr>
        <w:tc>
          <w:tcPr>
            <w:tcW w:w="9766" w:type="dxa"/>
            <w:gridSpan w:val="13"/>
            <w:tcBorders>
              <w:top w:val="nil"/>
              <w:left w:val="single" w:sz="12" w:space="0" w:color="auto"/>
              <w:bottom w:val="nil"/>
              <w:right w:val="single" w:sz="12" w:space="0" w:color="000000"/>
            </w:tcBorders>
            <w:shd w:val="clear" w:color="auto" w:fill="1F4E79" w:themeFill="accent1" w:themeFillShade="80"/>
            <w:vAlign w:val="center"/>
            <w:hideMark/>
          </w:tcPr>
          <w:p w:rsidR="009862B6" w:rsidRPr="007C0C13" w:rsidRDefault="009862B6" w:rsidP="009862B6">
            <w:pPr>
              <w:spacing w:after="0" w:line="240" w:lineRule="auto"/>
              <w:jc w:val="center"/>
              <w:rPr>
                <w:rFonts w:ascii="Open Sans" w:eastAsia="Times New Roman" w:hAnsi="Open Sans" w:cs="Open Sans"/>
                <w:b/>
                <w:bCs/>
                <w:iCs/>
                <w:color w:val="FFFFFF"/>
                <w:lang w:eastAsia="es-GT"/>
              </w:rPr>
            </w:pPr>
            <w:r w:rsidRPr="007C0C13">
              <w:rPr>
                <w:rFonts w:ascii="Open Sans" w:eastAsia="Times New Roman" w:hAnsi="Open Sans" w:cs="Open Sans"/>
                <w:b/>
                <w:bCs/>
                <w:iCs/>
                <w:color w:val="FFFFFF"/>
                <w:lang w:eastAsia="es-GT"/>
              </w:rPr>
              <w:t>Precio en Dólares Americanos por Pasajero en habitación compartida</w:t>
            </w:r>
          </w:p>
        </w:tc>
      </w:tr>
      <w:tr w:rsidR="009862B6" w:rsidRPr="007C0C13" w:rsidTr="009862B6">
        <w:trPr>
          <w:trHeight w:val="390"/>
        </w:trPr>
        <w:tc>
          <w:tcPr>
            <w:tcW w:w="9766" w:type="dxa"/>
            <w:gridSpan w:val="13"/>
            <w:tcBorders>
              <w:top w:val="nil"/>
              <w:left w:val="single" w:sz="12" w:space="0" w:color="auto"/>
              <w:bottom w:val="single" w:sz="12" w:space="0" w:color="auto"/>
              <w:right w:val="single" w:sz="12" w:space="0" w:color="000000"/>
            </w:tcBorders>
            <w:shd w:val="clear" w:color="000000" w:fill="78BE20"/>
            <w:vAlign w:val="center"/>
            <w:hideMark/>
          </w:tcPr>
          <w:p w:rsidR="009862B6" w:rsidRPr="007C0C13" w:rsidRDefault="009862B6" w:rsidP="009862B6">
            <w:pPr>
              <w:spacing w:after="0" w:line="240" w:lineRule="auto"/>
              <w:jc w:val="center"/>
              <w:rPr>
                <w:rFonts w:ascii="Open Sans" w:eastAsia="Times New Roman" w:hAnsi="Open Sans" w:cs="Open Sans"/>
                <w:b/>
                <w:bCs/>
                <w:iCs/>
                <w:color w:val="FFFFFF"/>
                <w:sz w:val="28"/>
                <w:szCs w:val="28"/>
                <w:lang w:eastAsia="es-GT"/>
              </w:rPr>
            </w:pPr>
            <w:r w:rsidRPr="007C0C13">
              <w:rPr>
                <w:rFonts w:ascii="Open Sans" w:eastAsia="Times New Roman" w:hAnsi="Open Sans" w:cs="Open Sans"/>
                <w:b/>
                <w:bCs/>
                <w:iCs/>
                <w:color w:val="FFFFFF"/>
                <w:sz w:val="28"/>
                <w:szCs w:val="28"/>
                <w:lang w:eastAsia="es-GT"/>
              </w:rPr>
              <w:t>La salida del 07 Oct no opera por ser la semana del Día del Perdón</w:t>
            </w:r>
          </w:p>
        </w:tc>
      </w:tr>
    </w:tbl>
    <w:p w:rsidR="00A37234" w:rsidRPr="007C0C13" w:rsidRDefault="00A37234" w:rsidP="00A37234">
      <w:pPr>
        <w:jc w:val="both"/>
        <w:rPr>
          <w:rFonts w:ascii="Open Sans" w:hAnsi="Open Sans" w:cs="Open Sans"/>
          <w:b/>
          <w:bCs/>
          <w:sz w:val="24"/>
          <w:szCs w:val="24"/>
        </w:rPr>
      </w:pPr>
    </w:p>
    <w:p w:rsidR="002D0B4C" w:rsidRPr="007C0C13" w:rsidRDefault="002D0B4C" w:rsidP="002D0B4C">
      <w:pPr>
        <w:pStyle w:val="Default"/>
        <w:jc w:val="both"/>
        <w:rPr>
          <w:rFonts w:ascii="Open Sans" w:hAnsi="Open Sans" w:cs="Open Sans"/>
          <w:b/>
          <w:bCs/>
        </w:rPr>
      </w:pPr>
    </w:p>
    <w:p w:rsidR="005E2719" w:rsidRPr="007C0C13" w:rsidRDefault="005E2719" w:rsidP="005E2719">
      <w:pPr>
        <w:pStyle w:val="Default"/>
        <w:jc w:val="both"/>
        <w:rPr>
          <w:rFonts w:ascii="Open Sans" w:hAnsi="Open Sans" w:cs="Open Sans"/>
          <w:b/>
          <w:sz w:val="28"/>
        </w:rPr>
      </w:pPr>
      <w:r w:rsidRPr="007C0C13">
        <w:rPr>
          <w:rFonts w:ascii="Open Sans" w:hAnsi="Open Sans" w:cs="Open Sans"/>
          <w:b/>
          <w:sz w:val="28"/>
        </w:rPr>
        <w:t>Los Precios Incluyen:</w:t>
      </w:r>
    </w:p>
    <w:p w:rsidR="003066D0" w:rsidRPr="007C0C13" w:rsidRDefault="003066D0" w:rsidP="005E2719">
      <w:pPr>
        <w:pStyle w:val="Default"/>
        <w:jc w:val="both"/>
        <w:rPr>
          <w:rFonts w:ascii="Open Sans" w:hAnsi="Open Sans" w:cs="Open Sans"/>
          <w:b/>
          <w:sz w:val="28"/>
        </w:rPr>
      </w:pP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Traslado regular de llegada del Aeropuerto Ben Gurion al hotel de Tel Aviv</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Traslado regular de salida del hotel de Jerusalén al aeropuerto Ben Gurion</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Traslado regular de llegada del Aeropuerto Internacional El Cairo al hotel de El Cairo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Traslado regular de salida del hotel de El Cairo al aeropuerto Internacional El Cairo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10 Días / 9 Noches en hoteles de la categoría elegida</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9 Desayunos buffet en los hoteles</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2 Cenas en el hotel de Galilea</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2 Cenas en los hoteles de El Cairo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1 Cena a bordo de un barco sobre el Rio Nilo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3 Cenas adicionales en el hotel de Jerusalén (solo para aquellos que reservaron con ½ pensión – no incluye bebidas)</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7 Días de tour en Israel y Egipto de acuerdo al itinerario adjunto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Autocar de lujo con aire acondicionado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Todas las entradas a los sitios de visita según el itinerario</w:t>
      </w:r>
    </w:p>
    <w:p w:rsidR="009862B6"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Guía local de habla hispana para las visitas</w:t>
      </w:r>
    </w:p>
    <w:p w:rsidR="00E82FC8" w:rsidRPr="007C0C13" w:rsidRDefault="009862B6" w:rsidP="009862B6">
      <w:pPr>
        <w:pStyle w:val="Default"/>
        <w:numPr>
          <w:ilvl w:val="0"/>
          <w:numId w:val="9"/>
        </w:numPr>
        <w:jc w:val="both"/>
        <w:rPr>
          <w:rFonts w:ascii="Open Sans" w:hAnsi="Open Sans" w:cs="Open Sans"/>
        </w:rPr>
      </w:pPr>
      <w:r w:rsidRPr="007C0C13">
        <w:rPr>
          <w:rFonts w:ascii="Open Sans" w:hAnsi="Open Sans" w:cs="Open Sans"/>
        </w:rPr>
        <w:t>Presentes personales a cada pasajero</w:t>
      </w:r>
    </w:p>
    <w:p w:rsidR="003066D0" w:rsidRPr="007C0C13" w:rsidRDefault="003066D0" w:rsidP="005E2719">
      <w:pPr>
        <w:pStyle w:val="Default"/>
        <w:jc w:val="both"/>
        <w:rPr>
          <w:rFonts w:ascii="Open Sans" w:hAnsi="Open Sans" w:cs="Open Sans"/>
          <w:b/>
          <w:sz w:val="28"/>
        </w:rPr>
      </w:pPr>
      <w:r w:rsidRPr="007C0C13">
        <w:rPr>
          <w:rFonts w:ascii="Open Sans" w:hAnsi="Open Sans" w:cs="Open Sans"/>
          <w:b/>
          <w:sz w:val="28"/>
        </w:rPr>
        <w:t>Los Precios NO Incluyen:</w:t>
      </w:r>
    </w:p>
    <w:p w:rsidR="003066D0" w:rsidRPr="007C0C13" w:rsidRDefault="003066D0" w:rsidP="005E2719">
      <w:pPr>
        <w:pStyle w:val="Default"/>
        <w:jc w:val="both"/>
        <w:rPr>
          <w:rFonts w:ascii="Open Sans" w:hAnsi="Open Sans" w:cs="Open Sans"/>
          <w:b/>
          <w:sz w:val="28"/>
        </w:rPr>
      </w:pP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Vuelos internacionales u domésticos</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Visados, tasas de fronteras y/o aeropuertos</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Vuelo Internacional de Tel Aviv a El Cairo</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Comidas fuera de las arriba mencionadas</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Maleteros</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lastRenderedPageBreak/>
        <w:t>Gastos de índole personal</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Propinas a guías y conductores</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Seguro Medico</w:t>
      </w:r>
    </w:p>
    <w:p w:rsidR="005E2719"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Seguro por accidentes</w:t>
      </w:r>
    </w:p>
    <w:p w:rsidR="00A37234" w:rsidRPr="007C0C13" w:rsidRDefault="005E2719" w:rsidP="003066D0">
      <w:pPr>
        <w:pStyle w:val="Default"/>
        <w:numPr>
          <w:ilvl w:val="0"/>
          <w:numId w:val="5"/>
        </w:numPr>
        <w:jc w:val="both"/>
        <w:rPr>
          <w:rFonts w:ascii="Open Sans" w:hAnsi="Open Sans" w:cs="Open Sans"/>
        </w:rPr>
      </w:pPr>
      <w:r w:rsidRPr="007C0C13">
        <w:rPr>
          <w:rFonts w:ascii="Open Sans" w:hAnsi="Open Sans" w:cs="Open Sans"/>
        </w:rPr>
        <w:t>Seguro por daño o perdida de maletas</w:t>
      </w:r>
    </w:p>
    <w:p w:rsidR="003066D0" w:rsidRPr="007C0C13" w:rsidRDefault="003066D0" w:rsidP="003066D0">
      <w:pPr>
        <w:pStyle w:val="Default"/>
        <w:ind w:left="720"/>
        <w:jc w:val="both"/>
        <w:rPr>
          <w:rFonts w:ascii="Open Sans" w:hAnsi="Open Sans" w:cs="Open Sans"/>
        </w:rPr>
      </w:pPr>
    </w:p>
    <w:p w:rsidR="00A37234" w:rsidRPr="007C0C13" w:rsidRDefault="00A37234" w:rsidP="00A37234">
      <w:pPr>
        <w:pStyle w:val="Default"/>
        <w:jc w:val="both"/>
        <w:rPr>
          <w:rFonts w:ascii="Open Sans" w:hAnsi="Open Sans" w:cs="Open Sans"/>
        </w:rPr>
      </w:pPr>
      <w:r w:rsidRPr="007C0C13">
        <w:rPr>
          <w:rFonts w:ascii="Open Sans" w:hAnsi="Open Sans" w:cs="Open Sans"/>
          <w:b/>
          <w:bCs/>
        </w:rPr>
        <w:t xml:space="preserve">Notas importantes: </w:t>
      </w:r>
    </w:p>
    <w:p w:rsidR="00A37234" w:rsidRPr="007C0C13" w:rsidRDefault="00A37234" w:rsidP="00A37234">
      <w:pPr>
        <w:pStyle w:val="Default"/>
        <w:numPr>
          <w:ilvl w:val="0"/>
          <w:numId w:val="3"/>
        </w:numPr>
        <w:spacing w:after="12"/>
        <w:jc w:val="both"/>
        <w:rPr>
          <w:rFonts w:ascii="Open Sans" w:hAnsi="Open Sans" w:cs="Open Sans"/>
        </w:rPr>
      </w:pPr>
      <w:r w:rsidRPr="007C0C13">
        <w:rPr>
          <w:rFonts w:ascii="Open Sans" w:hAnsi="Open Sans" w:cs="Open Sans"/>
        </w:rPr>
        <w:t xml:space="preserve">La primera noche es siempre sin la cena, aunque el tour reservado sea con media pensión </w:t>
      </w:r>
    </w:p>
    <w:p w:rsidR="00A37234" w:rsidRPr="007C0C13" w:rsidRDefault="00A37234" w:rsidP="00A37234">
      <w:pPr>
        <w:pStyle w:val="Default"/>
        <w:numPr>
          <w:ilvl w:val="0"/>
          <w:numId w:val="3"/>
        </w:numPr>
        <w:spacing w:after="12"/>
        <w:jc w:val="both"/>
        <w:rPr>
          <w:rFonts w:ascii="Open Sans" w:hAnsi="Open Sans" w:cs="Open Sans"/>
        </w:rPr>
      </w:pPr>
      <w:r w:rsidRPr="007C0C13">
        <w:rPr>
          <w:rFonts w:ascii="Open Sans" w:hAnsi="Open Sans" w:cs="Open Sans"/>
        </w:rPr>
        <w:t xml:space="preserve">No se garantiza conductor de habla hispana durante los traslados </w:t>
      </w:r>
    </w:p>
    <w:p w:rsidR="00A37234" w:rsidRPr="007C0C13" w:rsidRDefault="00A37234" w:rsidP="00A37234">
      <w:pPr>
        <w:pStyle w:val="Default"/>
        <w:numPr>
          <w:ilvl w:val="0"/>
          <w:numId w:val="3"/>
        </w:numPr>
        <w:jc w:val="both"/>
        <w:rPr>
          <w:rFonts w:ascii="Open Sans" w:hAnsi="Open Sans" w:cs="Open Sans"/>
        </w:rPr>
      </w:pPr>
      <w:r w:rsidRPr="007C0C13">
        <w:rPr>
          <w:rFonts w:ascii="Open Sans" w:hAnsi="Open Sans" w:cs="Open Sans"/>
        </w:rPr>
        <w:t xml:space="preserve">Los traslados incluidos son solo en los días del inicio (llegada) y final (salida) del Circuito. Cualquier otro día será cobrado como traslado adicional. </w:t>
      </w:r>
    </w:p>
    <w:p w:rsidR="003066D0" w:rsidRPr="007C0C13" w:rsidRDefault="003066D0" w:rsidP="003066D0">
      <w:pPr>
        <w:pStyle w:val="Default"/>
        <w:jc w:val="both"/>
        <w:rPr>
          <w:rFonts w:ascii="Open Sans" w:hAnsi="Open Sans" w:cs="Open Sans"/>
        </w:rPr>
      </w:pPr>
    </w:p>
    <w:p w:rsidR="003066D0" w:rsidRPr="007C0C13" w:rsidRDefault="003066D0" w:rsidP="003066D0">
      <w:pPr>
        <w:pStyle w:val="Default"/>
        <w:jc w:val="both"/>
        <w:rPr>
          <w:rFonts w:ascii="Open Sans" w:hAnsi="Open Sans" w:cs="Open Sans"/>
          <w:b/>
        </w:rPr>
      </w:pPr>
      <w:r w:rsidRPr="007C0C13">
        <w:rPr>
          <w:rFonts w:ascii="Open Sans" w:hAnsi="Open Sans" w:cs="Open Sans"/>
          <w:b/>
        </w:rPr>
        <w:t>Propinas en Israel:</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Las propinas no están incluidas en los precios de los Circuitos.</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Lo que se acostumbra en Israel son las siguientes propinas:</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Guía del Tour: USD 5 por día por persona.</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Conductor del Bus: USD 3 por día por persona.</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Traslados del/al Aeropuerto: USD 2,50 por traslado por persona.</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Maleteros en los Hoteles: USD 1.50 por cada maleta.</w:t>
      </w:r>
    </w:p>
    <w:p w:rsidR="003066D0" w:rsidRPr="007C0C13" w:rsidRDefault="003066D0" w:rsidP="003066D0">
      <w:pPr>
        <w:pStyle w:val="Default"/>
        <w:numPr>
          <w:ilvl w:val="0"/>
          <w:numId w:val="6"/>
        </w:numPr>
        <w:jc w:val="both"/>
        <w:rPr>
          <w:rFonts w:ascii="Open Sans" w:hAnsi="Open Sans" w:cs="Open Sans"/>
        </w:rPr>
      </w:pPr>
      <w:r w:rsidRPr="007C0C13">
        <w:rPr>
          <w:rFonts w:ascii="Open Sans" w:hAnsi="Open Sans" w:cs="Open Sans"/>
        </w:rPr>
        <w:t>Camareros en los Restaurantes: USD 1 por persona.</w:t>
      </w:r>
    </w:p>
    <w:p w:rsidR="00A37234" w:rsidRPr="007C0C13" w:rsidRDefault="00A37234" w:rsidP="00A37234">
      <w:pPr>
        <w:pStyle w:val="Default"/>
        <w:jc w:val="both"/>
        <w:rPr>
          <w:rFonts w:ascii="Open Sans" w:hAnsi="Open Sans" w:cs="Open Sans"/>
        </w:rPr>
      </w:pPr>
    </w:p>
    <w:p w:rsidR="004D62A3" w:rsidRPr="007C0C13" w:rsidRDefault="004D62A3" w:rsidP="00A37234">
      <w:pPr>
        <w:pStyle w:val="Default"/>
        <w:jc w:val="both"/>
        <w:rPr>
          <w:rFonts w:ascii="Open Sans" w:hAnsi="Open Sans" w:cs="Open Sans"/>
        </w:rPr>
      </w:pPr>
    </w:p>
    <w:p w:rsidR="00A37234" w:rsidRPr="007C0C13" w:rsidRDefault="00A37234" w:rsidP="00A37234">
      <w:pPr>
        <w:jc w:val="both"/>
        <w:rPr>
          <w:rFonts w:ascii="Open Sans" w:hAnsi="Open Sans" w:cs="Open Sans"/>
          <w:sz w:val="24"/>
          <w:szCs w:val="24"/>
        </w:rPr>
      </w:pPr>
      <w:r w:rsidRPr="007C0C13">
        <w:rPr>
          <w:rFonts w:ascii="Open Sans" w:hAnsi="Open Sans" w:cs="Open Sans"/>
          <w:b/>
          <w:bCs/>
          <w:sz w:val="24"/>
          <w:szCs w:val="24"/>
        </w:rPr>
        <w:t xml:space="preserve">Observaciones: </w:t>
      </w:r>
      <w:r w:rsidRPr="007C0C13">
        <w:rPr>
          <w:rFonts w:ascii="Open Sans" w:hAnsi="Open Sans" w:cs="Open Sans"/>
          <w:bCs/>
          <w:sz w:val="24"/>
          <w:szCs w:val="24"/>
        </w:rPr>
        <w:t xml:space="preserve">El proveedor local </w:t>
      </w:r>
      <w:r w:rsidRPr="007C0C13">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7C0C1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83" w:rsidRDefault="00747983" w:rsidP="007C0C13">
      <w:pPr>
        <w:spacing w:after="0" w:line="240" w:lineRule="auto"/>
      </w:pPr>
      <w:r>
        <w:separator/>
      </w:r>
    </w:p>
  </w:endnote>
  <w:endnote w:type="continuationSeparator" w:id="0">
    <w:p w:rsidR="00747983" w:rsidRDefault="00747983" w:rsidP="007C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83" w:rsidRDefault="00747983" w:rsidP="007C0C13">
      <w:pPr>
        <w:spacing w:after="0" w:line="240" w:lineRule="auto"/>
      </w:pPr>
      <w:r>
        <w:separator/>
      </w:r>
    </w:p>
  </w:footnote>
  <w:footnote w:type="continuationSeparator" w:id="0">
    <w:p w:rsidR="00747983" w:rsidRDefault="00747983" w:rsidP="007C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13" w:rsidRDefault="007C0C13" w:rsidP="007C0C13">
    <w:pPr>
      <w:pStyle w:val="Encabezado"/>
      <w:jc w:val="right"/>
    </w:pPr>
    <w:r>
      <w:rPr>
        <w:noProof/>
        <w:lang w:eastAsia="es-GT"/>
      </w:rPr>
      <w:drawing>
        <wp:inline distT="0" distB="0" distL="0" distR="0">
          <wp:extent cx="1714500" cy="8896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4401" t="26803" r="10788" b="29191"/>
                  <a:stretch/>
                </pic:blipFill>
                <pic:spPr bwMode="auto">
                  <a:xfrm>
                    <a:off x="0" y="0"/>
                    <a:ext cx="1745687" cy="9057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18FB"/>
    <w:multiLevelType w:val="hybridMultilevel"/>
    <w:tmpl w:val="FC480E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87214A3"/>
    <w:multiLevelType w:val="hybridMultilevel"/>
    <w:tmpl w:val="A768F1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485410C3"/>
    <w:multiLevelType w:val="hybridMultilevel"/>
    <w:tmpl w:val="69F8DD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BF448DA"/>
    <w:multiLevelType w:val="hybridMultilevel"/>
    <w:tmpl w:val="1310CF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97CF3"/>
    <w:multiLevelType w:val="hybridMultilevel"/>
    <w:tmpl w:val="B476B5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EA37943"/>
    <w:multiLevelType w:val="hybridMultilevel"/>
    <w:tmpl w:val="828837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2C7F8F"/>
    <w:rsid w:val="002D0B4C"/>
    <w:rsid w:val="003066D0"/>
    <w:rsid w:val="004D62A3"/>
    <w:rsid w:val="005E2719"/>
    <w:rsid w:val="00747983"/>
    <w:rsid w:val="007C0C13"/>
    <w:rsid w:val="00855612"/>
    <w:rsid w:val="008C54E8"/>
    <w:rsid w:val="009862B6"/>
    <w:rsid w:val="00A37234"/>
    <w:rsid w:val="00C7109E"/>
    <w:rsid w:val="00CA2D37"/>
    <w:rsid w:val="00E82FC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7C0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C13"/>
  </w:style>
  <w:style w:type="paragraph" w:styleId="Piedepgina">
    <w:name w:val="footer"/>
    <w:basedOn w:val="Normal"/>
    <w:link w:val="PiedepginaCar"/>
    <w:uiPriority w:val="99"/>
    <w:unhideWhenUsed/>
    <w:rsid w:val="007C0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7431">
      <w:bodyDiv w:val="1"/>
      <w:marLeft w:val="0"/>
      <w:marRight w:val="0"/>
      <w:marTop w:val="0"/>
      <w:marBottom w:val="0"/>
      <w:divBdr>
        <w:top w:val="none" w:sz="0" w:space="0" w:color="auto"/>
        <w:left w:val="none" w:sz="0" w:space="0" w:color="auto"/>
        <w:bottom w:val="none" w:sz="0" w:space="0" w:color="auto"/>
        <w:right w:val="none" w:sz="0" w:space="0" w:color="auto"/>
      </w:divBdr>
    </w:div>
    <w:div w:id="1418288764">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20485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4</cp:revision>
  <dcterms:created xsi:type="dcterms:W3CDTF">2019-02-07T22:13:00Z</dcterms:created>
  <dcterms:modified xsi:type="dcterms:W3CDTF">2019-05-10T03:06:00Z</dcterms:modified>
</cp:coreProperties>
</file>